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E16D61" w:rsidRDefault="00E16D61" w:rsidP="00E16D61">
      <w:pPr>
        <w:spacing w:after="0" w:line="480" w:lineRule="auto"/>
        <w:jc w:val="center"/>
        <w:rPr>
          <w:rFonts w:ascii="Times New Roman" w:hAnsi="Times New Roman" w:cs="Times New Roman"/>
          <w:sz w:val="24"/>
          <w:szCs w:val="24"/>
        </w:rPr>
      </w:pPr>
      <w:r w:rsidRPr="00E16D61">
        <w:rPr>
          <w:rFonts w:ascii="Times New Roman" w:hAnsi="Times New Roman" w:cs="Times New Roman"/>
          <w:sz w:val="24"/>
          <w:szCs w:val="24"/>
        </w:rPr>
        <w:t>Monetary Policy Homework</w:t>
      </w:r>
    </w:p>
    <w:p w:rsidR="00BB6861" w:rsidRPr="00BB6861" w:rsidRDefault="00E16D61" w:rsidP="00E16D6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r w:rsidRPr="00BB6861">
        <w:rPr>
          <w:rFonts w:ascii="Times New Roman" w:eastAsia="Times New Roman" w:hAnsi="Times New Roman" w:cs="Times New Roman"/>
          <w:sz w:val="24"/>
          <w:szCs w:val="24"/>
        </w:rPr>
        <w:t>Name</w:t>
      </w:r>
    </w:p>
    <w:p w:rsidR="00BB6861" w:rsidRPr="00BB6861" w:rsidRDefault="00BB6861" w:rsidP="00E16D61">
      <w:pPr>
        <w:spacing w:after="0" w:line="480" w:lineRule="auto"/>
        <w:jc w:val="center"/>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Institutional</w:t>
      </w:r>
      <w:r w:rsidR="00E16D61">
        <w:rPr>
          <w:rFonts w:ascii="Times New Roman" w:eastAsia="Times New Roman" w:hAnsi="Times New Roman" w:cs="Times New Roman"/>
          <w:sz w:val="24"/>
          <w:szCs w:val="24"/>
        </w:rPr>
        <w:t xml:space="preserve"> Affiliation</w:t>
      </w: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Default="00BB6861" w:rsidP="0082576F">
      <w:pPr>
        <w:spacing w:after="0" w:line="480" w:lineRule="auto"/>
        <w:rPr>
          <w:rFonts w:ascii="Times New Roman" w:eastAsia="Times New Roman" w:hAnsi="Times New Roman" w:cs="Times New Roman"/>
          <w:sz w:val="24"/>
          <w:szCs w:val="24"/>
        </w:rPr>
      </w:pPr>
    </w:p>
    <w:p w:rsidR="002F71BD" w:rsidRDefault="002F71BD" w:rsidP="0082576F">
      <w:pPr>
        <w:spacing w:after="0" w:line="480" w:lineRule="auto"/>
        <w:rPr>
          <w:rFonts w:ascii="Times New Roman" w:eastAsia="Times New Roman" w:hAnsi="Times New Roman" w:cs="Times New Roman"/>
          <w:sz w:val="24"/>
          <w:szCs w:val="24"/>
        </w:rPr>
      </w:pPr>
    </w:p>
    <w:p w:rsidR="002F71BD" w:rsidRDefault="002F71BD" w:rsidP="0082576F">
      <w:pPr>
        <w:spacing w:after="0" w:line="480" w:lineRule="auto"/>
        <w:rPr>
          <w:rFonts w:ascii="Times New Roman" w:eastAsia="Times New Roman" w:hAnsi="Times New Roman" w:cs="Times New Roman"/>
          <w:sz w:val="24"/>
          <w:szCs w:val="24"/>
        </w:rPr>
      </w:pPr>
    </w:p>
    <w:p w:rsidR="002F71BD" w:rsidRDefault="002F71BD" w:rsidP="0082576F">
      <w:pPr>
        <w:spacing w:after="0" w:line="480" w:lineRule="auto"/>
        <w:rPr>
          <w:rFonts w:ascii="Times New Roman" w:eastAsia="Times New Roman" w:hAnsi="Times New Roman" w:cs="Times New Roman"/>
          <w:sz w:val="24"/>
          <w:szCs w:val="24"/>
        </w:rPr>
      </w:pPr>
    </w:p>
    <w:p w:rsidR="002F71BD" w:rsidRDefault="002F71BD" w:rsidP="0082576F">
      <w:pPr>
        <w:spacing w:after="0" w:line="480" w:lineRule="auto"/>
        <w:rPr>
          <w:rFonts w:ascii="Times New Roman" w:eastAsia="Times New Roman" w:hAnsi="Times New Roman" w:cs="Times New Roman"/>
          <w:sz w:val="24"/>
          <w:szCs w:val="24"/>
        </w:rPr>
      </w:pPr>
    </w:p>
    <w:p w:rsidR="002F71BD" w:rsidRDefault="002F71BD" w:rsidP="0082576F">
      <w:pPr>
        <w:spacing w:after="0" w:line="480" w:lineRule="auto"/>
        <w:rPr>
          <w:rFonts w:ascii="Times New Roman" w:eastAsia="Times New Roman" w:hAnsi="Times New Roman" w:cs="Times New Roman"/>
          <w:sz w:val="24"/>
          <w:szCs w:val="24"/>
        </w:rPr>
      </w:pPr>
    </w:p>
    <w:p w:rsidR="002F71BD" w:rsidRDefault="002F71BD" w:rsidP="0082576F">
      <w:pPr>
        <w:spacing w:after="0" w:line="480" w:lineRule="auto"/>
        <w:rPr>
          <w:rFonts w:ascii="Times New Roman" w:eastAsia="Times New Roman" w:hAnsi="Times New Roman" w:cs="Times New Roman"/>
          <w:sz w:val="24"/>
          <w:szCs w:val="24"/>
        </w:rPr>
      </w:pPr>
    </w:p>
    <w:p w:rsidR="002F71BD" w:rsidRPr="00BB6861" w:rsidRDefault="002F71BD"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1C1EB9" w:rsidRDefault="001C1EB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C1EB9" w:rsidRDefault="001C1EB9" w:rsidP="001C1EB9">
      <w:pPr>
        <w:spacing w:after="0" w:line="480" w:lineRule="auto"/>
        <w:jc w:val="center"/>
        <w:rPr>
          <w:rFonts w:ascii="Times New Roman" w:hAnsi="Times New Roman" w:cs="Times New Roman"/>
          <w:sz w:val="24"/>
          <w:szCs w:val="24"/>
        </w:rPr>
      </w:pPr>
      <w:r w:rsidRPr="00E16D61">
        <w:rPr>
          <w:rFonts w:ascii="Times New Roman" w:hAnsi="Times New Roman" w:cs="Times New Roman"/>
          <w:sz w:val="24"/>
          <w:szCs w:val="24"/>
        </w:rPr>
        <w:lastRenderedPageBreak/>
        <w:t>Monetary Policy Homework</w:t>
      </w:r>
    </w:p>
    <w:p w:rsidR="00BB6861" w:rsidRPr="00BB6861" w:rsidRDefault="00BB6861" w:rsidP="0082576F">
      <w:p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QUESTION 1</w:t>
      </w:r>
    </w:p>
    <w:p w:rsidR="00BB6861" w:rsidRPr="004C52EA" w:rsidRDefault="00BB6861" w:rsidP="004C52EA">
      <w:pPr>
        <w:pStyle w:val="ListParagraph"/>
        <w:numPr>
          <w:ilvl w:val="0"/>
          <w:numId w:val="1"/>
        </w:numPr>
        <w:spacing w:after="0" w:line="480" w:lineRule="auto"/>
        <w:rPr>
          <w:rFonts w:ascii="Times New Roman" w:eastAsia="Times New Roman" w:hAnsi="Times New Roman" w:cs="Times New Roman"/>
          <w:sz w:val="24"/>
          <w:szCs w:val="24"/>
        </w:rPr>
      </w:pPr>
      <w:r w:rsidRPr="004C52EA">
        <w:rPr>
          <w:rFonts w:ascii="Times New Roman" w:eastAsia="Times New Roman" w:hAnsi="Times New Roman" w:cs="Times New Roman"/>
          <w:sz w:val="24"/>
          <w:szCs w:val="24"/>
        </w:rPr>
        <w:t>True. Flexible rates are those determined by the global changes in the supply and demand for the currency. The need to perform such action is because they are prices, which are entirely determined by the market. Based on that context, they rapidly vary and change due to change demand and supply globally. Thus far, such rates are not affected by fluctuations in government spending.</w:t>
      </w:r>
    </w:p>
    <w:p w:rsidR="00BB6861" w:rsidRPr="00BB6861" w:rsidRDefault="00BB6861" w:rsidP="0082576F">
      <w:pPr>
        <w:numPr>
          <w:ilvl w:val="0"/>
          <w:numId w:val="1"/>
        </w:num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True. An increase in government spending reduces private investment. The increase in government spending is funded using increased exchange rates and partly through borrowing from the government. An increase in the prices of interest usually results in the reduction in investment due to the impact it poses on the scope of investment opportunities. Increased interest rates result in an increase in cost for funds affecting their accessibility to debt financing platform ultimately reducing investment resulting in crowding out</w:t>
      </w:r>
    </w:p>
    <w:p w:rsidR="00BB6861" w:rsidRPr="00BB6861" w:rsidRDefault="00BB6861" w:rsidP="0082576F">
      <w:pPr>
        <w:numPr>
          <w:ilvl w:val="0"/>
          <w:numId w:val="1"/>
        </w:num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True. Monetary expansion in the economy devalues the currency due to excess reserves. Such a situation causes the FED to implement contractionary fiscal policies, thereby setting a course for the subverting of increased financial reserves in the economy through the use of a fixed interest rate.</w:t>
      </w:r>
    </w:p>
    <w:p w:rsidR="00BB6861" w:rsidRPr="00BB6861" w:rsidRDefault="00BB6861" w:rsidP="0082576F">
      <w:pPr>
        <w:numPr>
          <w:ilvl w:val="0"/>
          <w:numId w:val="1"/>
        </w:num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True. Exogenous shocks posit a negative impact on a country’s economy. When such shocks occur, they assert negative implications for the aggregate demand. Such a situation compels the Fed to implement flexible monetary policies that are primarily meant to install recuperative measures on several fronts.</w:t>
      </w:r>
    </w:p>
    <w:p w:rsidR="00BB6861" w:rsidRDefault="00BB6861" w:rsidP="0082576F">
      <w:pPr>
        <w:numPr>
          <w:ilvl w:val="0"/>
          <w:numId w:val="1"/>
        </w:num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lastRenderedPageBreak/>
        <w:t>False. The fiscal policy harbors the potential to install a sound framework designed to stabilize the economy using fixed interest rates. It does this while keeping adverse factors in check as opposed to the monetary policy, which lends a more significant focus on government spending, as well as tax rates.</w:t>
      </w:r>
    </w:p>
    <w:p w:rsidR="00875D4C" w:rsidRPr="00BB6861" w:rsidRDefault="00875D4C" w:rsidP="00875D4C">
      <w:pPr>
        <w:spacing w:after="0" w:line="480" w:lineRule="auto"/>
        <w:ind w:left="720"/>
        <w:rPr>
          <w:rFonts w:ascii="Times New Roman" w:eastAsia="Times New Roman" w:hAnsi="Times New Roman" w:cs="Times New Roman"/>
          <w:sz w:val="24"/>
          <w:szCs w:val="24"/>
        </w:rPr>
      </w:pPr>
    </w:p>
    <w:p w:rsidR="003E363D" w:rsidRDefault="00BB6861" w:rsidP="0082576F">
      <w:p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2. The Philips Curve and the Recession Approach increasingly offer deeper insights whose core tenets tends to disagree with the Fed’s role in striving to control the recession of 1981-1982 based on several critical factors. Both approaches ascertain that the prospects of trying to relate employment to inflation seem rather far-fetched (Twinoburyo &amp; Odhiambo, 2018). Credence to this analogy lies in the fact that work tends to vary the time and, as such, has no effect on the rate of inflation. The same applies to the latter approach, whose policies are mutually aligned with the former strategy on all fronts.</w:t>
      </w:r>
    </w:p>
    <w:p w:rsidR="001C1EB9" w:rsidRPr="00BB6861" w:rsidRDefault="001C1EB9" w:rsidP="0082576F">
      <w:pPr>
        <w:spacing w:after="0" w:line="480" w:lineRule="auto"/>
        <w:rPr>
          <w:rFonts w:ascii="Times New Roman" w:eastAsia="Times New Roman" w:hAnsi="Times New Roman" w:cs="Times New Roman"/>
          <w:sz w:val="24"/>
          <w:szCs w:val="24"/>
        </w:rPr>
      </w:pPr>
      <w:bookmarkStart w:id="0" w:name="_GoBack"/>
      <w:bookmarkEnd w:id="0"/>
    </w:p>
    <w:p w:rsidR="00BB6861" w:rsidRDefault="00BB6861" w:rsidP="0082576F">
      <w:p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3. The prospects for not implementing the fiscal and or monetary policy will subsequently cause the prices to fall, thereby leading to minimal supply.</w:t>
      </w:r>
    </w:p>
    <w:p w:rsidR="003E363D" w:rsidRPr="00BB6861" w:rsidRDefault="003E363D"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 xml:space="preserve">4. The monetary policy increasingly delves forth to create a sound framework designed to counter the diverse effects of unemployment. The main objective of monetary policy is to maintain full employment or help keep an increased economic growth rate. The distinction of unemployment variances should be addressed in the stabilization of systems. A decrease in interest rates will adversely lead to a reduction in the exchange rate, making exports more competitive. In the event of unemployment being too low, the business operating economy is considered to be over-heated, making inflation to be a significant concern. It is widely believed </w:t>
      </w:r>
      <w:r w:rsidRPr="00BB6861">
        <w:rPr>
          <w:rFonts w:ascii="Times New Roman" w:eastAsia="Times New Roman" w:hAnsi="Times New Roman" w:cs="Times New Roman"/>
          <w:sz w:val="24"/>
          <w:szCs w:val="24"/>
        </w:rPr>
        <w:lastRenderedPageBreak/>
        <w:t>that several jobs must be left aside to control an available tenth of a percentage level of the inflation process. For instance, during structural unemployment, when there is an availability of jobs but existing personnel lack skills to fill the available position. Structural unemployment may occur when technology advancements change the scope of work itself.</w:t>
      </w:r>
    </w:p>
    <w:p w:rsidR="00BB6861" w:rsidRPr="00BB6861" w:rsidRDefault="00BB6861" w:rsidP="0082576F">
      <w:p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A monetary policy adopts a medium-term strategy as it ensures the implementation of sound measures designed to reverse prevalent changes on several fronts. </w:t>
      </w:r>
    </w:p>
    <w:p w:rsidR="00BB6861" w:rsidRPr="00BB6861" w:rsidRDefault="00BB6861" w:rsidP="0082576F">
      <w:pPr>
        <w:spacing w:after="0" w:line="480" w:lineRule="auto"/>
        <w:rPr>
          <w:rFonts w:ascii="Times New Roman" w:eastAsia="Times New Roman" w:hAnsi="Times New Roman" w:cs="Times New Roman"/>
          <w:sz w:val="24"/>
          <w:szCs w:val="24"/>
        </w:rPr>
      </w:pPr>
      <w:r w:rsidRPr="0082576F">
        <w:rPr>
          <w:rFonts w:ascii="Times New Roman" w:eastAsia="Times New Roman" w:hAnsi="Times New Roman" w:cs="Times New Roman"/>
          <w:b/>
          <w:bCs/>
          <w:sz w:val="24"/>
          <w:szCs w:val="24"/>
        </w:rPr>
        <w:t>Question 5</w:t>
      </w:r>
    </w:p>
    <w:p w:rsidR="00BB6861" w:rsidRPr="003E363D" w:rsidRDefault="00BB6861" w:rsidP="003E363D">
      <w:pPr>
        <w:pStyle w:val="ListParagraph"/>
        <w:numPr>
          <w:ilvl w:val="0"/>
          <w:numId w:val="2"/>
        </w:numPr>
        <w:spacing w:after="0" w:line="480" w:lineRule="auto"/>
        <w:rPr>
          <w:rFonts w:ascii="Times New Roman" w:eastAsia="Times New Roman" w:hAnsi="Times New Roman" w:cs="Times New Roman"/>
          <w:sz w:val="24"/>
          <w:szCs w:val="24"/>
        </w:rPr>
      </w:pPr>
      <w:r w:rsidRPr="003E363D">
        <w:rPr>
          <w:rFonts w:ascii="Times New Roman" w:eastAsia="Times New Roman" w:hAnsi="Times New Roman" w:cs="Times New Roman"/>
          <w:sz w:val="24"/>
          <w:szCs w:val="24"/>
        </w:rPr>
        <w:t>The Solow growth model critically illustrates an economy’s growth rate based on wide-ranging factors such as technological progress, rate of savings, rate of depreciation, as well as the rate of investments into the economy. This particular model surmises that under exogenous circumstances whereby an economy bears adverse effects posed by Hurricanes such as is the case with the Puerto Rican economy. The Solow growth model asserts that extreme conditions certainly lack the premise to increase the growth rate of any given economy on a long term basis. However, provided said factors remain unchanged, such an economy may experience an increase in the growth rate. </w:t>
      </w:r>
    </w:p>
    <w:p w:rsidR="00BB6861" w:rsidRDefault="00BB6861" w:rsidP="0082576F">
      <w:pPr>
        <w:numPr>
          <w:ilvl w:val="0"/>
          <w:numId w:val="2"/>
        </w:num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Following a shock on the economy, the diagram below shows the prevalent illustrations about how an economy adjusts to the equilibrium accordingly.</w:t>
      </w:r>
    </w:p>
    <w:p w:rsidR="003E363D" w:rsidRDefault="003E363D" w:rsidP="003E363D">
      <w:pPr>
        <w:spacing w:after="0" w:line="480" w:lineRule="auto"/>
        <w:rPr>
          <w:rFonts w:ascii="Times New Roman" w:eastAsia="Times New Roman" w:hAnsi="Times New Roman" w:cs="Times New Roman"/>
          <w:sz w:val="24"/>
          <w:szCs w:val="24"/>
        </w:rPr>
      </w:pPr>
    </w:p>
    <w:p w:rsidR="003E363D" w:rsidRDefault="003E363D" w:rsidP="003E363D">
      <w:pPr>
        <w:spacing w:after="0" w:line="480" w:lineRule="auto"/>
        <w:rPr>
          <w:rFonts w:ascii="Times New Roman" w:eastAsia="Times New Roman" w:hAnsi="Times New Roman" w:cs="Times New Roman"/>
          <w:sz w:val="24"/>
          <w:szCs w:val="24"/>
        </w:rPr>
      </w:pPr>
    </w:p>
    <w:p w:rsidR="003E363D" w:rsidRDefault="003E363D" w:rsidP="003E363D">
      <w:pPr>
        <w:spacing w:after="0" w:line="480" w:lineRule="auto"/>
        <w:rPr>
          <w:rFonts w:ascii="Times New Roman" w:eastAsia="Times New Roman" w:hAnsi="Times New Roman" w:cs="Times New Roman"/>
          <w:sz w:val="24"/>
          <w:szCs w:val="24"/>
        </w:rPr>
      </w:pPr>
      <w:r>
        <w:rPr>
          <w:noProof/>
        </w:rPr>
        <w:lastRenderedPageBreak/>
        <w:drawing>
          <wp:inline distT="0" distB="0" distL="0" distR="0" wp14:anchorId="2F29A763" wp14:editId="6C07460C">
            <wp:extent cx="2918765" cy="2018859"/>
            <wp:effectExtent l="0" t="0" r="0" b="635"/>
            <wp:docPr id="2" name="Picture 2" descr="Output per Wor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utput per Work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18724" cy="2018831"/>
                    </a:xfrm>
                    <a:prstGeom prst="rect">
                      <a:avLst/>
                    </a:prstGeom>
                    <a:noFill/>
                    <a:ln>
                      <a:noFill/>
                    </a:ln>
                  </pic:spPr>
                </pic:pic>
              </a:graphicData>
            </a:graphic>
          </wp:inline>
        </w:drawing>
      </w:r>
    </w:p>
    <w:p w:rsidR="003E363D" w:rsidRDefault="003E363D" w:rsidP="003E363D">
      <w:pPr>
        <w:spacing w:after="0" w:line="480" w:lineRule="auto"/>
        <w:rPr>
          <w:rFonts w:ascii="Times New Roman" w:eastAsia="Times New Roman" w:hAnsi="Times New Roman" w:cs="Times New Roman"/>
          <w:sz w:val="24"/>
          <w:szCs w:val="24"/>
        </w:rPr>
      </w:pPr>
    </w:p>
    <w:p w:rsidR="003E363D" w:rsidRPr="00BB6861" w:rsidRDefault="003E363D" w:rsidP="003E363D">
      <w:pPr>
        <w:spacing w:after="0" w:line="480" w:lineRule="auto"/>
        <w:rPr>
          <w:rFonts w:ascii="Times New Roman" w:eastAsia="Times New Roman" w:hAnsi="Times New Roman" w:cs="Times New Roman"/>
          <w:sz w:val="24"/>
          <w:szCs w:val="24"/>
        </w:rPr>
      </w:pPr>
    </w:p>
    <w:p w:rsidR="00BB6861" w:rsidRPr="00D077A0" w:rsidRDefault="00BB6861" w:rsidP="00D077A0">
      <w:pPr>
        <w:pStyle w:val="ListParagraph"/>
        <w:numPr>
          <w:ilvl w:val="0"/>
          <w:numId w:val="2"/>
        </w:numPr>
        <w:spacing w:after="0" w:line="480" w:lineRule="auto"/>
        <w:rPr>
          <w:rFonts w:ascii="Times New Roman" w:eastAsia="Times New Roman" w:hAnsi="Times New Roman" w:cs="Times New Roman"/>
          <w:sz w:val="24"/>
          <w:szCs w:val="24"/>
        </w:rPr>
      </w:pPr>
      <w:r w:rsidRPr="00D077A0">
        <w:rPr>
          <w:rFonts w:ascii="Times New Roman" w:eastAsia="Times New Roman" w:hAnsi="Times New Roman" w:cs="Times New Roman"/>
          <w:sz w:val="24"/>
          <w:szCs w:val="24"/>
        </w:rPr>
        <w:t>Comparison of the growth rates between the two phases of economic boom</w:t>
      </w:r>
    </w:p>
    <w:p w:rsidR="00BB6861" w:rsidRPr="00BB6861" w:rsidRDefault="00D077A0" w:rsidP="00D077A0">
      <w:pPr>
        <w:spacing w:after="0"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BB6861" w:rsidRPr="00BB6861">
        <w:rPr>
          <w:rFonts w:ascii="Times New Roman" w:eastAsia="Times New Roman" w:hAnsi="Times New Roman" w:cs="Times New Roman"/>
          <w:sz w:val="24"/>
          <w:szCs w:val="24"/>
        </w:rPr>
        <w:t>long term equilibrium financial adjustments of the Puerto Rican economy increasingly shows how such an economy gets to recover to its usual potential over the scope of commercial operations. From the above illustration, it is safer to surmise that after Hurricane Maria hits the economy of Puerto Rico, it slowly recovers after the prices of output begin to return to normal.</w:t>
      </w:r>
    </w:p>
    <w:p w:rsidR="00BB6861" w:rsidRPr="00BB6861" w:rsidRDefault="00BB6861" w:rsidP="0082576F">
      <w:p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 </w:t>
      </w:r>
    </w:p>
    <w:p w:rsidR="00BB6861" w:rsidRPr="00BB6861" w:rsidRDefault="00BB6861" w:rsidP="0082576F">
      <w:p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 </w:t>
      </w:r>
      <w:r w:rsidRPr="0082576F">
        <w:rPr>
          <w:rFonts w:ascii="Times New Roman" w:eastAsia="Times New Roman" w:hAnsi="Times New Roman" w:cs="Times New Roman"/>
          <w:b/>
          <w:bCs/>
          <w:sz w:val="24"/>
          <w:szCs w:val="24"/>
        </w:rPr>
        <w:t>Question 6 </w:t>
      </w:r>
    </w:p>
    <w:p w:rsidR="00BB6861" w:rsidRPr="00BB6861" w:rsidRDefault="00BB6861" w:rsidP="0082576F">
      <w:p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 xml:space="preserve">Financial Accelerator mechanism in monetary policy comprises a broader spectrum of varied elements. The monetary policy mutually aligns with a wide array of foundational principles that majorly aim to create a sound framework for the development of a given country’s economy. The monetary policy increasingly seeks to create a sound structure designed to promote the development of critical decisions about investments and savings for several firms (Srithilat at el., 2017). In seeking to attain such successful measures, this technique may occasionally rely on different channels including, credit and balance sheet channels. The former channel offers </w:t>
      </w:r>
      <w:r w:rsidRPr="00BB6861">
        <w:rPr>
          <w:rFonts w:ascii="Times New Roman" w:eastAsia="Times New Roman" w:hAnsi="Times New Roman" w:cs="Times New Roman"/>
          <w:sz w:val="24"/>
          <w:szCs w:val="24"/>
        </w:rPr>
        <w:lastRenderedPageBreak/>
        <w:t>substantial leeway in consideration to nurturing sound decision making relative to the development of important business strategies on several fronts.</w:t>
      </w:r>
    </w:p>
    <w:p w:rsidR="00BB6861" w:rsidRPr="00BB6861" w:rsidRDefault="00BB6861" w:rsidP="0082576F">
      <w:pPr>
        <w:spacing w:after="0" w:line="480" w:lineRule="auto"/>
        <w:rPr>
          <w:rFonts w:ascii="Times New Roman" w:eastAsia="Times New Roman" w:hAnsi="Times New Roman" w:cs="Times New Roman"/>
          <w:sz w:val="24"/>
          <w:szCs w:val="24"/>
        </w:rPr>
      </w:pPr>
      <w:r w:rsidRPr="0082576F">
        <w:rPr>
          <w:rFonts w:ascii="Times New Roman" w:eastAsia="Times New Roman" w:hAnsi="Times New Roman" w:cs="Times New Roman"/>
          <w:b/>
          <w:bCs/>
          <w:sz w:val="24"/>
          <w:szCs w:val="24"/>
        </w:rPr>
        <w:t>Question 7</w:t>
      </w:r>
    </w:p>
    <w:p w:rsidR="00BB6861" w:rsidRPr="00BB6861" w:rsidRDefault="00BB6861" w:rsidP="0082576F">
      <w:pPr>
        <w:spacing w:after="0" w:line="480" w:lineRule="auto"/>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The Great Recession of 2007-2008 features as one of the most deadly global fiscal crisis based on the widespread impacts it posited on several fronts. The interplay of several factors played a more significant role in facilitating the development of said crisis from several diversified dimensions (Srithilat at el., 2017). One significant element perceived as the core trigger to the whole process included the credit deleverages. It is safer to surmise that the implementation of less harsh interest rates on shorter loans would have significantly served to improve the livelihoods of several individuals. Different economies tend to recover from exogenous shocks due, in large part, to the significance of the self-correcting mechanism (Srithilat at el., 2017). The said technique is essential in creating a firm foundation on which diverse economies tend to recover from the effects posited by economic depressions over the scope of critical financial operations. A section of literary perspectives suggests that this particular technique may fail to sustain a proper economic recovery in some instances, such as the one that followed the Great Recession.</w:t>
      </w: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20183E">
      <w:pPr>
        <w:spacing w:after="0" w:line="480" w:lineRule="auto"/>
        <w:jc w:val="center"/>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lastRenderedPageBreak/>
        <w:t>References</w:t>
      </w:r>
    </w:p>
    <w:p w:rsidR="00BB6861" w:rsidRPr="00BB6861" w:rsidRDefault="00BB6861" w:rsidP="008771E1">
      <w:pPr>
        <w:spacing w:after="0" w:line="480" w:lineRule="auto"/>
        <w:ind w:left="720" w:hanging="720"/>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Srithilat, K., Sun, G., &amp; Thavisay, M. (2017). The impact of monetary policy on economic development: Evidence from Lao PDR. </w:t>
      </w:r>
      <w:r w:rsidRPr="0082576F">
        <w:rPr>
          <w:rFonts w:ascii="Times New Roman" w:eastAsia="Times New Roman" w:hAnsi="Times New Roman" w:cs="Times New Roman"/>
          <w:i/>
          <w:iCs/>
          <w:sz w:val="24"/>
          <w:szCs w:val="24"/>
        </w:rPr>
        <w:t>Global Journal of Human-Social Science Research</w:t>
      </w:r>
      <w:r w:rsidRPr="00BB6861">
        <w:rPr>
          <w:rFonts w:ascii="Times New Roman" w:eastAsia="Times New Roman" w:hAnsi="Times New Roman" w:cs="Times New Roman"/>
          <w:sz w:val="24"/>
          <w:szCs w:val="24"/>
        </w:rPr>
        <w:t>.</w:t>
      </w:r>
    </w:p>
    <w:p w:rsidR="00BB6861" w:rsidRPr="00BB6861" w:rsidRDefault="00BB6861" w:rsidP="008771E1">
      <w:pPr>
        <w:spacing w:after="0" w:line="480" w:lineRule="auto"/>
        <w:ind w:left="720" w:hanging="720"/>
        <w:rPr>
          <w:rFonts w:ascii="Times New Roman" w:eastAsia="Times New Roman" w:hAnsi="Times New Roman" w:cs="Times New Roman"/>
          <w:sz w:val="24"/>
          <w:szCs w:val="24"/>
        </w:rPr>
      </w:pPr>
      <w:r w:rsidRPr="00BB6861">
        <w:rPr>
          <w:rFonts w:ascii="Times New Roman" w:eastAsia="Times New Roman" w:hAnsi="Times New Roman" w:cs="Times New Roman"/>
          <w:sz w:val="24"/>
          <w:szCs w:val="24"/>
        </w:rPr>
        <w:t>Twinoburyo, E. N., &amp; Odhiambo, N. M. (2018). Monetary policy and economic growth: a review of international literature. </w:t>
      </w:r>
      <w:r w:rsidRPr="0082576F">
        <w:rPr>
          <w:rFonts w:ascii="Times New Roman" w:eastAsia="Times New Roman" w:hAnsi="Times New Roman" w:cs="Times New Roman"/>
          <w:i/>
          <w:iCs/>
          <w:sz w:val="24"/>
          <w:szCs w:val="24"/>
        </w:rPr>
        <w:t>Journal of Central Banking Theory and Practice</w:t>
      </w:r>
      <w:r w:rsidRPr="00BB6861">
        <w:rPr>
          <w:rFonts w:ascii="Times New Roman" w:eastAsia="Times New Roman" w:hAnsi="Times New Roman" w:cs="Times New Roman"/>
          <w:sz w:val="24"/>
          <w:szCs w:val="24"/>
        </w:rPr>
        <w:t>, </w:t>
      </w:r>
      <w:r w:rsidRPr="0082576F">
        <w:rPr>
          <w:rFonts w:ascii="Times New Roman" w:eastAsia="Times New Roman" w:hAnsi="Times New Roman" w:cs="Times New Roman"/>
          <w:i/>
          <w:iCs/>
          <w:sz w:val="24"/>
          <w:szCs w:val="24"/>
        </w:rPr>
        <w:t>7</w:t>
      </w:r>
      <w:r w:rsidRPr="00BB6861">
        <w:rPr>
          <w:rFonts w:ascii="Times New Roman" w:eastAsia="Times New Roman" w:hAnsi="Times New Roman" w:cs="Times New Roman"/>
          <w:sz w:val="24"/>
          <w:szCs w:val="24"/>
        </w:rPr>
        <w:t>(2), 123-137.</w:t>
      </w: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BB6861" w:rsidRPr="00BB6861" w:rsidRDefault="00BB6861" w:rsidP="0082576F">
      <w:pPr>
        <w:spacing w:after="0" w:line="480" w:lineRule="auto"/>
        <w:rPr>
          <w:rFonts w:ascii="Times New Roman" w:eastAsia="Times New Roman" w:hAnsi="Times New Roman" w:cs="Times New Roman"/>
          <w:sz w:val="24"/>
          <w:szCs w:val="24"/>
        </w:rPr>
      </w:pPr>
    </w:p>
    <w:p w:rsidR="00D82308" w:rsidRPr="0082576F" w:rsidRDefault="00D82308" w:rsidP="0082576F">
      <w:pPr>
        <w:spacing w:line="480" w:lineRule="auto"/>
        <w:rPr>
          <w:rFonts w:ascii="Times New Roman" w:hAnsi="Times New Roman" w:cs="Times New Roman"/>
          <w:sz w:val="24"/>
          <w:szCs w:val="24"/>
        </w:rPr>
      </w:pPr>
    </w:p>
    <w:sectPr w:rsidR="00D82308" w:rsidRPr="0082576F" w:rsidSect="00E16D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CDB" w:rsidRDefault="00570CDB" w:rsidP="00E16D61">
      <w:pPr>
        <w:spacing w:after="0" w:line="240" w:lineRule="auto"/>
      </w:pPr>
      <w:r>
        <w:separator/>
      </w:r>
    </w:p>
  </w:endnote>
  <w:endnote w:type="continuationSeparator" w:id="0">
    <w:p w:rsidR="00570CDB" w:rsidRDefault="00570CDB" w:rsidP="00E16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CDB" w:rsidRDefault="00570CDB" w:rsidP="00E16D61">
      <w:pPr>
        <w:spacing w:after="0" w:line="240" w:lineRule="auto"/>
      </w:pPr>
      <w:r>
        <w:separator/>
      </w:r>
    </w:p>
  </w:footnote>
  <w:footnote w:type="continuationSeparator" w:id="0">
    <w:p w:rsidR="00570CDB" w:rsidRDefault="00570CDB" w:rsidP="00E16D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D61" w:rsidRPr="00E16D61" w:rsidRDefault="001C1EB9" w:rsidP="001C1EB9">
    <w:pPr>
      <w:spacing w:after="0" w:line="480" w:lineRule="auto"/>
      <w:jc w:val="center"/>
      <w:rPr>
        <w:rFonts w:ascii="Times New Roman" w:hAnsi="Times New Roman" w:cs="Times New Roman"/>
        <w:sz w:val="24"/>
        <w:szCs w:val="24"/>
      </w:rPr>
    </w:pPr>
    <w:r w:rsidRPr="00E16D61">
      <w:rPr>
        <w:rFonts w:ascii="Times New Roman" w:hAnsi="Times New Roman" w:cs="Times New Roman"/>
        <w:sz w:val="24"/>
        <w:szCs w:val="24"/>
      </w:rPr>
      <w:t>MONETARY POLICY HOMEWORK</w:t>
    </w:r>
    <w:sdt>
      <w:sdtPr>
        <w:rPr>
          <w:rFonts w:ascii="Times New Roman" w:hAnsi="Times New Roman" w:cs="Times New Roman"/>
          <w:sz w:val="24"/>
          <w:szCs w:val="24"/>
        </w:rPr>
        <w:id w:val="46724689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E16D61" w:rsidRPr="00E16D61">
          <w:rPr>
            <w:rFonts w:ascii="Times New Roman" w:hAnsi="Times New Roman" w:cs="Times New Roman"/>
            <w:sz w:val="24"/>
            <w:szCs w:val="24"/>
          </w:rPr>
          <w:fldChar w:fldCharType="begin"/>
        </w:r>
        <w:r w:rsidR="00E16D61" w:rsidRPr="00E16D61">
          <w:rPr>
            <w:rFonts w:ascii="Times New Roman" w:hAnsi="Times New Roman" w:cs="Times New Roman"/>
            <w:sz w:val="24"/>
            <w:szCs w:val="24"/>
          </w:rPr>
          <w:instrText xml:space="preserve"> PAGE   \* MERGEFORMAT </w:instrText>
        </w:r>
        <w:r w:rsidR="00E16D61" w:rsidRPr="00E16D61">
          <w:rPr>
            <w:rFonts w:ascii="Times New Roman" w:hAnsi="Times New Roman" w:cs="Times New Roman"/>
            <w:sz w:val="24"/>
            <w:szCs w:val="24"/>
          </w:rPr>
          <w:fldChar w:fldCharType="separate"/>
        </w:r>
        <w:r>
          <w:rPr>
            <w:rFonts w:ascii="Times New Roman" w:hAnsi="Times New Roman" w:cs="Times New Roman"/>
            <w:noProof/>
            <w:sz w:val="24"/>
            <w:szCs w:val="24"/>
          </w:rPr>
          <w:t>7</w:t>
        </w:r>
        <w:r w:rsidR="00E16D61" w:rsidRPr="00E16D6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D61" w:rsidRPr="001C1EB9" w:rsidRDefault="00E16D61" w:rsidP="001C1EB9">
    <w:pPr>
      <w:spacing w:after="0" w:line="480" w:lineRule="auto"/>
      <w:jc w:val="center"/>
      <w:rPr>
        <w:rFonts w:ascii="Times New Roman" w:hAnsi="Times New Roman" w:cs="Times New Roman"/>
        <w:sz w:val="24"/>
        <w:szCs w:val="24"/>
      </w:rPr>
    </w:pPr>
    <w:r w:rsidRPr="00E16D61">
      <w:rPr>
        <w:rFonts w:ascii="Times New Roman" w:hAnsi="Times New Roman" w:cs="Times New Roman"/>
        <w:sz w:val="24"/>
        <w:szCs w:val="24"/>
      </w:rPr>
      <w:t xml:space="preserve">Running head: </w:t>
    </w:r>
    <w:r w:rsidR="001C1EB9" w:rsidRPr="001C1EB9">
      <w:rPr>
        <w:rFonts w:ascii="Times New Roman" w:hAnsi="Times New Roman" w:cs="Times New Roman"/>
        <w:szCs w:val="24"/>
      </w:rPr>
      <w:t>MONETARY POLICY HOMEWORK</w:t>
    </w:r>
    <w:sdt>
      <w:sdtPr>
        <w:id w:val="-679817840"/>
        <w:docPartObj>
          <w:docPartGallery w:val="Page Numbers (Top of Page)"/>
          <w:docPartUnique/>
        </w:docPartObj>
      </w:sdtPr>
      <w:sdtEndPr>
        <w:rPr>
          <w:noProof/>
        </w:rPr>
      </w:sdtEndPr>
      <w:sdtContent>
        <w:r w:rsidR="001C1EB9">
          <w:t xml:space="preserve">                                                                              </w:t>
        </w:r>
        <w:r>
          <w:fldChar w:fldCharType="begin"/>
        </w:r>
        <w:r>
          <w:instrText xml:space="preserve"> PAGE   \* MERGEFORMAT </w:instrText>
        </w:r>
        <w:r>
          <w:fldChar w:fldCharType="separate"/>
        </w:r>
        <w:r w:rsidR="001C1EB9">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86ED4"/>
    <w:multiLevelType w:val="multilevel"/>
    <w:tmpl w:val="0F36E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092ADD"/>
    <w:multiLevelType w:val="multilevel"/>
    <w:tmpl w:val="AA2E51D0"/>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3674C6"/>
    <w:multiLevelType w:val="multilevel"/>
    <w:tmpl w:val="30D6E1F4"/>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861"/>
    <w:rsid w:val="001C1EB9"/>
    <w:rsid w:val="0020183E"/>
    <w:rsid w:val="002F71BD"/>
    <w:rsid w:val="003E363D"/>
    <w:rsid w:val="004C52EA"/>
    <w:rsid w:val="00553E64"/>
    <w:rsid w:val="00570CDB"/>
    <w:rsid w:val="0082576F"/>
    <w:rsid w:val="00875D4C"/>
    <w:rsid w:val="008771E1"/>
    <w:rsid w:val="00BB6861"/>
    <w:rsid w:val="00D077A0"/>
    <w:rsid w:val="00D82308"/>
    <w:rsid w:val="00E16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86187"/>
  <w15:docId w15:val="{8CCD3295-04A0-4E08-94EF-E0A8FE9D3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Theme="minorHAnsi" w:hAnsi="Garamond"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68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6861"/>
    <w:rPr>
      <w:b/>
      <w:bCs/>
    </w:rPr>
  </w:style>
  <w:style w:type="character" w:styleId="Emphasis">
    <w:name w:val="Emphasis"/>
    <w:basedOn w:val="DefaultParagraphFont"/>
    <w:uiPriority w:val="20"/>
    <w:qFormat/>
    <w:rsid w:val="00BB6861"/>
    <w:rPr>
      <w:i/>
      <w:iCs/>
    </w:rPr>
  </w:style>
  <w:style w:type="paragraph" w:styleId="ListParagraph">
    <w:name w:val="List Paragraph"/>
    <w:basedOn w:val="Normal"/>
    <w:uiPriority w:val="34"/>
    <w:qFormat/>
    <w:rsid w:val="003E363D"/>
    <w:pPr>
      <w:ind w:left="720"/>
      <w:contextualSpacing/>
    </w:pPr>
  </w:style>
  <w:style w:type="paragraph" w:styleId="BalloonText">
    <w:name w:val="Balloon Text"/>
    <w:basedOn w:val="Normal"/>
    <w:link w:val="BalloonTextChar"/>
    <w:uiPriority w:val="99"/>
    <w:semiHidden/>
    <w:unhideWhenUsed/>
    <w:rsid w:val="003E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63D"/>
    <w:rPr>
      <w:rFonts w:ascii="Tahoma" w:hAnsi="Tahoma" w:cs="Tahoma"/>
      <w:sz w:val="16"/>
      <w:szCs w:val="16"/>
    </w:rPr>
  </w:style>
  <w:style w:type="paragraph" w:styleId="Header">
    <w:name w:val="header"/>
    <w:basedOn w:val="Normal"/>
    <w:link w:val="HeaderChar"/>
    <w:uiPriority w:val="99"/>
    <w:unhideWhenUsed/>
    <w:rsid w:val="00E16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D61"/>
  </w:style>
  <w:style w:type="paragraph" w:styleId="Footer">
    <w:name w:val="footer"/>
    <w:basedOn w:val="Normal"/>
    <w:link w:val="FooterChar"/>
    <w:uiPriority w:val="99"/>
    <w:unhideWhenUsed/>
    <w:rsid w:val="00E16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D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55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1124</Words>
  <Characters>6408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FUN WRITER</cp:lastModifiedBy>
  <cp:revision>2</cp:revision>
  <dcterms:created xsi:type="dcterms:W3CDTF">2020-02-24T20:46:00Z</dcterms:created>
  <dcterms:modified xsi:type="dcterms:W3CDTF">2020-02-24T20:46:00Z</dcterms:modified>
</cp:coreProperties>
</file>